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B79" w:rsidRDefault="00E24B7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24B79" w:rsidRDefault="00E24B79">
      <w:pPr>
        <w:pStyle w:val="ConsPlusNormal"/>
        <w:jc w:val="both"/>
        <w:outlineLvl w:val="0"/>
      </w:pPr>
    </w:p>
    <w:p w:rsidR="00E24B79" w:rsidRDefault="00E24B79">
      <w:pPr>
        <w:pStyle w:val="ConsPlusNormal"/>
        <w:outlineLvl w:val="0"/>
      </w:pPr>
      <w:r>
        <w:t>Зарегистрировано в Минюсте России 30 июня 2014 г. N 32915</w:t>
      </w:r>
    </w:p>
    <w:p w:rsidR="00E24B79" w:rsidRDefault="00E24B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4B79" w:rsidRDefault="00E24B79">
      <w:pPr>
        <w:pStyle w:val="ConsPlusNormal"/>
        <w:jc w:val="both"/>
      </w:pPr>
    </w:p>
    <w:p w:rsidR="00E24B79" w:rsidRDefault="00E24B79">
      <w:pPr>
        <w:pStyle w:val="ConsPlusTitle"/>
        <w:jc w:val="center"/>
      </w:pPr>
      <w:r>
        <w:t>ЦЕНТРАЛЬНЫЙ БАНК РОССИЙСКОЙ ФЕДЕРАЦИИ</w:t>
      </w:r>
    </w:p>
    <w:p w:rsidR="00E24B79" w:rsidRDefault="00E24B79">
      <w:pPr>
        <w:pStyle w:val="ConsPlusTitle"/>
        <w:jc w:val="center"/>
      </w:pPr>
    </w:p>
    <w:p w:rsidR="00E24B79" w:rsidRDefault="00E24B79">
      <w:pPr>
        <w:pStyle w:val="ConsPlusTitle"/>
        <w:jc w:val="center"/>
      </w:pPr>
      <w:r>
        <w:t>УКАЗАНИЕ</w:t>
      </w:r>
    </w:p>
    <w:p w:rsidR="00E24B79" w:rsidRDefault="00E24B79">
      <w:pPr>
        <w:pStyle w:val="ConsPlusTitle"/>
        <w:jc w:val="center"/>
      </w:pPr>
      <w:r>
        <w:t>от 23 апреля 2014 г. N 3240-У</w:t>
      </w:r>
    </w:p>
    <w:p w:rsidR="00E24B79" w:rsidRDefault="00E24B79">
      <w:pPr>
        <w:pStyle w:val="ConsPlusTitle"/>
        <w:jc w:val="center"/>
      </w:pPr>
    </w:p>
    <w:p w:rsidR="00E24B79" w:rsidRDefault="00E24B79">
      <w:pPr>
        <w:pStyle w:val="ConsPlusTitle"/>
        <w:jc w:val="center"/>
      </w:pPr>
      <w:r>
        <w:t>О ТАБЛИЧНОЙ ФОРМЕ</w:t>
      </w:r>
    </w:p>
    <w:p w:rsidR="00E24B79" w:rsidRDefault="00E24B79">
      <w:pPr>
        <w:pStyle w:val="ConsPlusTitle"/>
        <w:jc w:val="center"/>
      </w:pPr>
      <w:r>
        <w:t>ИНДИВИДУАЛЬНЫХ УСЛОВИЙ ДОГОВОРА ПОТРЕБИТЕЛЬСКОГО</w:t>
      </w:r>
    </w:p>
    <w:p w:rsidR="00E24B79" w:rsidRDefault="00E24B79">
      <w:pPr>
        <w:pStyle w:val="ConsPlusTitle"/>
        <w:jc w:val="center"/>
      </w:pPr>
      <w:r>
        <w:t>КРЕДИТА (ЗАЙМА)</w:t>
      </w:r>
    </w:p>
    <w:p w:rsidR="00E24B79" w:rsidRDefault="00E24B79">
      <w:pPr>
        <w:pStyle w:val="ConsPlusNormal"/>
        <w:jc w:val="both"/>
      </w:pPr>
    </w:p>
    <w:p w:rsidR="00E24B79" w:rsidRDefault="00E24B79">
      <w:pPr>
        <w:pStyle w:val="ConsPlusNormal"/>
        <w:ind w:firstLine="540"/>
        <w:jc w:val="both"/>
      </w:pPr>
      <w:r>
        <w:t xml:space="preserve">Настоящее Указание на основании </w:t>
      </w:r>
      <w:hyperlink r:id="rId6" w:history="1">
        <w:r>
          <w:rPr>
            <w:color w:val="0000FF"/>
          </w:rPr>
          <w:t>части 12 статьи 5</w:t>
        </w:r>
      </w:hyperlink>
      <w:r>
        <w:t xml:space="preserve"> Федерального закона от 21 декабря 2013 года N 353-ФЗ "О потребительском кредите (займе)" (Собрание законодательства Российской Федерации, 2013, N 51, ст. 6673) устанавливает табличную форму индивидуальных условий договора потребительского кредита (займа) (далее - таблица индивидуальных условий договора).</w:t>
      </w:r>
    </w:p>
    <w:p w:rsidR="00E24B79" w:rsidRDefault="00E24B79">
      <w:pPr>
        <w:pStyle w:val="ConsPlusNormal"/>
        <w:spacing w:before="220"/>
        <w:ind w:firstLine="540"/>
        <w:jc w:val="both"/>
      </w:pPr>
      <w:r>
        <w:t xml:space="preserve">1. Таблица индивидуальных условий договора состоит из общего заголовка и трех граф по </w:t>
      </w:r>
      <w:hyperlink w:anchor="P35" w:history="1">
        <w:r>
          <w:rPr>
            <w:color w:val="0000FF"/>
          </w:rPr>
          <w:t>форме</w:t>
        </w:r>
      </w:hyperlink>
      <w:r>
        <w:t xml:space="preserve"> приложения к настоящему Указанию, из которых </w:t>
      </w:r>
      <w:hyperlink w:anchor="P44" w:history="1">
        <w:r>
          <w:rPr>
            <w:color w:val="0000FF"/>
          </w:rPr>
          <w:t>графа</w:t>
        </w:r>
      </w:hyperlink>
      <w:r>
        <w:t xml:space="preserve"> "Содержание условия" заполняется кредитором и содержит индивидуальные условия заключаемого договора потребительского кредита (займа).</w:t>
      </w:r>
    </w:p>
    <w:p w:rsidR="00E24B79" w:rsidRDefault="00E24B79">
      <w:pPr>
        <w:pStyle w:val="ConsPlusNormal"/>
        <w:spacing w:before="220"/>
        <w:ind w:firstLine="540"/>
        <w:jc w:val="both"/>
      </w:pPr>
      <w:r>
        <w:t xml:space="preserve">2. Исключение строк из таблицы индивидуальных условий договора не допускается. Отсутствие информации в строках таблицы индивидуальных условий договора обозначается отметкой "Отсутствует". В случае если условие не применимо к данному виду договора, проставляется отметка "Не применимо". Проставление отметки "Не применимо" допускается в </w:t>
      </w:r>
      <w:hyperlink w:anchor="P57" w:history="1">
        <w:r>
          <w:rPr>
            <w:color w:val="0000FF"/>
          </w:rPr>
          <w:t>строках 5</w:t>
        </w:r>
      </w:hyperlink>
      <w:r>
        <w:t xml:space="preserve">, </w:t>
      </w:r>
      <w:hyperlink w:anchor="P72" w:history="1">
        <w:r>
          <w:rPr>
            <w:color w:val="0000FF"/>
          </w:rPr>
          <w:t>9</w:t>
        </w:r>
      </w:hyperlink>
      <w:r>
        <w:t xml:space="preserve"> - </w:t>
      </w:r>
      <w:hyperlink w:anchor="P78" w:history="1">
        <w:r>
          <w:rPr>
            <w:color w:val="0000FF"/>
          </w:rPr>
          <w:t>11</w:t>
        </w:r>
      </w:hyperlink>
      <w:r>
        <w:t xml:space="preserve">, </w:t>
      </w:r>
      <w:hyperlink w:anchor="P90" w:history="1">
        <w:r>
          <w:rPr>
            <w:color w:val="0000FF"/>
          </w:rPr>
          <w:t>15</w:t>
        </w:r>
      </w:hyperlink>
      <w:r>
        <w:t>.</w:t>
      </w:r>
    </w:p>
    <w:p w:rsidR="00E24B79" w:rsidRDefault="00E24B79">
      <w:pPr>
        <w:pStyle w:val="ConsPlusNormal"/>
        <w:spacing w:before="220"/>
        <w:ind w:firstLine="540"/>
        <w:jc w:val="both"/>
      </w:pPr>
      <w:r>
        <w:t>3. При размещении части таблицы индивидуальных условий договора на второй и следующих по порядку страницах договора потребительского кредита (займа) заголовок и подзаголовки граф повторяются. Строки таблицы индивидуальных условий договора переносятся на следующую страницу целиком, кроме случаев, когда содержание условия занимает более одной страницы договора.</w:t>
      </w:r>
    </w:p>
    <w:p w:rsidR="00E24B79" w:rsidRDefault="00E24B79">
      <w:pPr>
        <w:pStyle w:val="ConsPlusNormal"/>
        <w:spacing w:before="220"/>
        <w:ind w:firstLine="540"/>
        <w:jc w:val="both"/>
      </w:pPr>
      <w:r>
        <w:t xml:space="preserve">4. В случае наличия в договоре потребительского кредита (займа) иных условий, требующих согласования кредитором и заемщиком индивидуально, таблица индивидуальных условий договора дополняется строками, содержащими такие условия, после </w:t>
      </w:r>
      <w:hyperlink w:anchor="P93" w:history="1">
        <w:r>
          <w:rPr>
            <w:color w:val="0000FF"/>
          </w:rPr>
          <w:t>строки 16</w:t>
        </w:r>
      </w:hyperlink>
      <w:r>
        <w:t xml:space="preserve"> с продолжением нумерации по порядку.</w:t>
      </w:r>
    </w:p>
    <w:p w:rsidR="00E24B79" w:rsidRDefault="00E24B79">
      <w:pPr>
        <w:pStyle w:val="ConsPlusNormal"/>
        <w:spacing w:before="220"/>
        <w:ind w:firstLine="540"/>
        <w:jc w:val="both"/>
      </w:pPr>
      <w:r>
        <w:t>5. Настоящее Указание подлежит официальному опубликованию в "Вестнике Банка России" и на основании решения Совета директоров Банка России (протокол заседания Совета директоров Банка России от 15 апреля 2014 года N 12) вступает в силу с 1 июля 2014 года.</w:t>
      </w:r>
    </w:p>
    <w:p w:rsidR="00E24B79" w:rsidRDefault="00E24B79">
      <w:pPr>
        <w:pStyle w:val="ConsPlusNormal"/>
        <w:ind w:firstLine="540"/>
        <w:jc w:val="both"/>
      </w:pPr>
    </w:p>
    <w:p w:rsidR="00E24B79" w:rsidRDefault="00E24B79">
      <w:pPr>
        <w:pStyle w:val="ConsPlusNormal"/>
        <w:jc w:val="right"/>
      </w:pPr>
      <w:r>
        <w:t>Председатель Центрального банка</w:t>
      </w:r>
    </w:p>
    <w:p w:rsidR="00E24B79" w:rsidRDefault="00E24B79">
      <w:pPr>
        <w:pStyle w:val="ConsPlusNormal"/>
        <w:jc w:val="right"/>
      </w:pPr>
      <w:r>
        <w:t>Российской Федерации</w:t>
      </w:r>
    </w:p>
    <w:p w:rsidR="00E24B79" w:rsidRDefault="00E24B79">
      <w:pPr>
        <w:pStyle w:val="ConsPlusNormal"/>
        <w:jc w:val="right"/>
      </w:pPr>
      <w:r>
        <w:t>Э.С.НАБИУЛЛИНА</w:t>
      </w:r>
    </w:p>
    <w:p w:rsidR="00E24B79" w:rsidRDefault="00E24B79">
      <w:pPr>
        <w:pStyle w:val="ConsPlusNormal"/>
        <w:jc w:val="both"/>
      </w:pPr>
    </w:p>
    <w:p w:rsidR="00E24B79" w:rsidRDefault="00E24B79">
      <w:pPr>
        <w:pStyle w:val="ConsPlusNormal"/>
        <w:jc w:val="both"/>
      </w:pPr>
    </w:p>
    <w:p w:rsidR="00E24B79" w:rsidRDefault="00E24B79">
      <w:pPr>
        <w:pStyle w:val="ConsPlusNormal"/>
        <w:jc w:val="both"/>
      </w:pPr>
    </w:p>
    <w:p w:rsidR="00E24B79" w:rsidRDefault="00E24B79">
      <w:pPr>
        <w:pStyle w:val="ConsPlusNormal"/>
        <w:jc w:val="both"/>
      </w:pPr>
    </w:p>
    <w:p w:rsidR="00E24B79" w:rsidRDefault="00E24B79">
      <w:pPr>
        <w:pStyle w:val="ConsPlusNormal"/>
        <w:jc w:val="both"/>
      </w:pPr>
    </w:p>
    <w:p w:rsidR="00E24B79" w:rsidRDefault="00E24B79">
      <w:pPr>
        <w:pStyle w:val="ConsPlusNormal"/>
        <w:jc w:val="right"/>
        <w:outlineLvl w:val="0"/>
      </w:pPr>
      <w:r>
        <w:t>Приложение</w:t>
      </w:r>
    </w:p>
    <w:p w:rsidR="00E24B79" w:rsidRDefault="00E24B79">
      <w:pPr>
        <w:pStyle w:val="ConsPlusNormal"/>
        <w:jc w:val="right"/>
      </w:pPr>
      <w:r>
        <w:lastRenderedPageBreak/>
        <w:t>к Указанию Банка России</w:t>
      </w:r>
    </w:p>
    <w:p w:rsidR="00E24B79" w:rsidRDefault="00E24B79">
      <w:pPr>
        <w:pStyle w:val="ConsPlusNormal"/>
        <w:jc w:val="right"/>
      </w:pPr>
      <w:r>
        <w:t>от 23 апреля 2014 года N 3240-У</w:t>
      </w:r>
    </w:p>
    <w:p w:rsidR="00E24B79" w:rsidRDefault="00E24B79">
      <w:pPr>
        <w:pStyle w:val="ConsPlusNormal"/>
        <w:jc w:val="right"/>
      </w:pPr>
      <w:r>
        <w:t>"О табличной форме индивидуальных</w:t>
      </w:r>
    </w:p>
    <w:p w:rsidR="00E24B79" w:rsidRDefault="00E24B79">
      <w:pPr>
        <w:pStyle w:val="ConsPlusNormal"/>
        <w:jc w:val="right"/>
      </w:pPr>
      <w:r>
        <w:t>условий договора потребительского</w:t>
      </w:r>
    </w:p>
    <w:p w:rsidR="00E24B79" w:rsidRDefault="00E24B79">
      <w:pPr>
        <w:pStyle w:val="ConsPlusNormal"/>
        <w:jc w:val="right"/>
      </w:pPr>
      <w:r>
        <w:t>кредита (займа)"</w:t>
      </w:r>
    </w:p>
    <w:p w:rsidR="00E24B79" w:rsidRDefault="00E24B79">
      <w:pPr>
        <w:pStyle w:val="ConsPlusNormal"/>
        <w:jc w:val="both"/>
      </w:pPr>
    </w:p>
    <w:p w:rsidR="00E24B79" w:rsidRDefault="00E24B79">
      <w:pPr>
        <w:pStyle w:val="ConsPlusNormal"/>
        <w:jc w:val="center"/>
      </w:pPr>
      <w:bookmarkStart w:id="0" w:name="P35"/>
      <w:bookmarkEnd w:id="0"/>
      <w:r>
        <w:t>ТАБЛИЧНАЯ ФОРМА</w:t>
      </w:r>
    </w:p>
    <w:p w:rsidR="00E24B79" w:rsidRDefault="00E24B79">
      <w:pPr>
        <w:pStyle w:val="ConsPlusNormal"/>
        <w:jc w:val="center"/>
      </w:pPr>
      <w:r>
        <w:t>ИНДИВИДУАЛЬНЫХ УСЛОВИЙ ДОГОВОРА ПОТРЕБИТЕЛЬСКОГО</w:t>
      </w:r>
    </w:p>
    <w:p w:rsidR="00E24B79" w:rsidRDefault="00E24B79">
      <w:pPr>
        <w:pStyle w:val="ConsPlusNormal"/>
        <w:jc w:val="center"/>
      </w:pPr>
      <w:r>
        <w:t>КРЕДИТА (ЗАЙМА)</w:t>
      </w:r>
    </w:p>
    <w:p w:rsidR="00E24B79" w:rsidRDefault="00E24B79">
      <w:pPr>
        <w:pStyle w:val="ConsPlusNormal"/>
        <w:jc w:val="center"/>
      </w:pPr>
    </w:p>
    <w:p w:rsidR="00E24B79" w:rsidRDefault="00E24B79">
      <w:pPr>
        <w:sectPr w:rsidR="00E24B79" w:rsidSect="001A06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4B79" w:rsidRDefault="00E24B79">
      <w:pPr>
        <w:pStyle w:val="ConsPlusNormal"/>
        <w:jc w:val="right"/>
        <w:outlineLvl w:val="1"/>
      </w:pPr>
      <w:r>
        <w:lastRenderedPageBreak/>
        <w:t>Таблица</w:t>
      </w:r>
    </w:p>
    <w:p w:rsidR="00E24B79" w:rsidRDefault="00E24B7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5277"/>
        <w:gridCol w:w="3672"/>
      </w:tblGrid>
      <w:tr w:rsidR="00E24B79">
        <w:tc>
          <w:tcPr>
            <w:tcW w:w="9639" w:type="dxa"/>
            <w:gridSpan w:val="3"/>
          </w:tcPr>
          <w:p w:rsidR="00E24B79" w:rsidRDefault="00E24B79">
            <w:pPr>
              <w:pStyle w:val="ConsPlusNormal"/>
              <w:jc w:val="center"/>
            </w:pPr>
            <w:bookmarkStart w:id="1" w:name="_GoBack"/>
            <w:r>
              <w:t>Индивидуальные условия договора потребительского кредита (займа)</w:t>
            </w:r>
          </w:p>
        </w:tc>
      </w:tr>
      <w:tr w:rsidR="00E24B79">
        <w:tc>
          <w:tcPr>
            <w:tcW w:w="690" w:type="dxa"/>
          </w:tcPr>
          <w:p w:rsidR="00E24B79" w:rsidRDefault="00E24B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77" w:type="dxa"/>
          </w:tcPr>
          <w:p w:rsidR="00E24B79" w:rsidRDefault="00E24B79">
            <w:pPr>
              <w:pStyle w:val="ConsPlusNormal"/>
              <w:jc w:val="center"/>
            </w:pPr>
            <w:r>
              <w:t>Условие</w:t>
            </w:r>
          </w:p>
        </w:tc>
        <w:tc>
          <w:tcPr>
            <w:tcW w:w="3672" w:type="dxa"/>
          </w:tcPr>
          <w:p w:rsidR="00E24B79" w:rsidRDefault="00E24B79">
            <w:pPr>
              <w:pStyle w:val="ConsPlusNormal"/>
              <w:jc w:val="center"/>
            </w:pPr>
            <w:bookmarkStart w:id="2" w:name="P44"/>
            <w:bookmarkEnd w:id="2"/>
            <w:r>
              <w:t>Содержание условия</w:t>
            </w:r>
          </w:p>
        </w:tc>
      </w:tr>
      <w:tr w:rsidR="00E24B79">
        <w:tc>
          <w:tcPr>
            <w:tcW w:w="690" w:type="dxa"/>
          </w:tcPr>
          <w:p w:rsidR="00E24B79" w:rsidRDefault="00E24B7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77" w:type="dxa"/>
          </w:tcPr>
          <w:p w:rsidR="00E24B79" w:rsidRDefault="00E24B79">
            <w:pPr>
              <w:pStyle w:val="ConsPlusNormal"/>
            </w:pPr>
            <w:r>
              <w:t>Сумма кредита (займа) или лимит кредитования и порядок его изменения</w:t>
            </w:r>
          </w:p>
        </w:tc>
        <w:tc>
          <w:tcPr>
            <w:tcW w:w="3672" w:type="dxa"/>
          </w:tcPr>
          <w:p w:rsidR="00E24B79" w:rsidRDefault="00E24B79">
            <w:pPr>
              <w:pStyle w:val="ConsPlusNormal"/>
            </w:pPr>
          </w:p>
        </w:tc>
      </w:tr>
      <w:tr w:rsidR="00E24B79">
        <w:tc>
          <w:tcPr>
            <w:tcW w:w="690" w:type="dxa"/>
          </w:tcPr>
          <w:p w:rsidR="00E24B79" w:rsidRDefault="00E24B7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77" w:type="dxa"/>
          </w:tcPr>
          <w:p w:rsidR="00E24B79" w:rsidRDefault="00E24B79">
            <w:pPr>
              <w:pStyle w:val="ConsPlusNormal"/>
            </w:pPr>
            <w:r>
              <w:t>Срок действия договора, срок возврата кредита (займа)</w:t>
            </w:r>
          </w:p>
        </w:tc>
        <w:tc>
          <w:tcPr>
            <w:tcW w:w="3672" w:type="dxa"/>
          </w:tcPr>
          <w:p w:rsidR="00E24B79" w:rsidRDefault="00E24B79">
            <w:pPr>
              <w:pStyle w:val="ConsPlusNormal"/>
            </w:pPr>
          </w:p>
        </w:tc>
      </w:tr>
      <w:tr w:rsidR="00E24B79">
        <w:tc>
          <w:tcPr>
            <w:tcW w:w="690" w:type="dxa"/>
          </w:tcPr>
          <w:p w:rsidR="00E24B79" w:rsidRDefault="00E24B7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77" w:type="dxa"/>
          </w:tcPr>
          <w:p w:rsidR="00E24B79" w:rsidRDefault="00E24B79">
            <w:pPr>
              <w:pStyle w:val="ConsPlusNormal"/>
            </w:pPr>
            <w:r>
              <w:t>Валюта, в которой предоставляется кредит (заем)</w:t>
            </w:r>
          </w:p>
        </w:tc>
        <w:tc>
          <w:tcPr>
            <w:tcW w:w="3672" w:type="dxa"/>
          </w:tcPr>
          <w:p w:rsidR="00E24B79" w:rsidRDefault="00E24B79">
            <w:pPr>
              <w:pStyle w:val="ConsPlusNormal"/>
            </w:pPr>
          </w:p>
        </w:tc>
      </w:tr>
      <w:tr w:rsidR="00E24B79">
        <w:tc>
          <w:tcPr>
            <w:tcW w:w="690" w:type="dxa"/>
          </w:tcPr>
          <w:p w:rsidR="00E24B79" w:rsidRDefault="00E24B7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77" w:type="dxa"/>
          </w:tcPr>
          <w:p w:rsidR="00E24B79" w:rsidRDefault="00E24B79">
            <w:pPr>
              <w:pStyle w:val="ConsPlusNormal"/>
            </w:pPr>
            <w:r>
              <w:t>Процентная ставка (процентные ставки) (в процентах годовых) или порядок ее (их) определения</w:t>
            </w:r>
          </w:p>
        </w:tc>
        <w:tc>
          <w:tcPr>
            <w:tcW w:w="3672" w:type="dxa"/>
          </w:tcPr>
          <w:p w:rsidR="00E24B79" w:rsidRDefault="00E24B79">
            <w:pPr>
              <w:pStyle w:val="ConsPlusNormal"/>
            </w:pPr>
          </w:p>
        </w:tc>
      </w:tr>
      <w:tr w:rsidR="00E24B79">
        <w:tc>
          <w:tcPr>
            <w:tcW w:w="690" w:type="dxa"/>
          </w:tcPr>
          <w:p w:rsidR="00E24B79" w:rsidRDefault="00E24B79">
            <w:pPr>
              <w:pStyle w:val="ConsPlusNormal"/>
              <w:jc w:val="center"/>
            </w:pPr>
            <w:bookmarkStart w:id="3" w:name="P57"/>
            <w:bookmarkEnd w:id="3"/>
            <w:r>
              <w:t>5.</w:t>
            </w:r>
          </w:p>
        </w:tc>
        <w:tc>
          <w:tcPr>
            <w:tcW w:w="5277" w:type="dxa"/>
          </w:tcPr>
          <w:p w:rsidR="00E24B79" w:rsidRDefault="00E24B79">
            <w:pPr>
              <w:pStyle w:val="ConsPlusNormal"/>
            </w:pPr>
            <w:r>
              <w:t>Порядок определения курса иностранной валюты при переводе денежных средств кредитором третьему лицу, указанному заемщиком</w:t>
            </w:r>
          </w:p>
        </w:tc>
        <w:tc>
          <w:tcPr>
            <w:tcW w:w="3672" w:type="dxa"/>
          </w:tcPr>
          <w:p w:rsidR="00E24B79" w:rsidRDefault="00E24B79">
            <w:pPr>
              <w:pStyle w:val="ConsPlusNormal"/>
            </w:pPr>
          </w:p>
        </w:tc>
      </w:tr>
      <w:tr w:rsidR="00E24B79">
        <w:tc>
          <w:tcPr>
            <w:tcW w:w="690" w:type="dxa"/>
          </w:tcPr>
          <w:p w:rsidR="00E24B79" w:rsidRDefault="00E24B7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77" w:type="dxa"/>
          </w:tcPr>
          <w:p w:rsidR="00E24B79" w:rsidRDefault="00E24B79">
            <w:pPr>
              <w:pStyle w:val="ConsPlusNormal"/>
            </w:pPr>
            <w:r>
              <w:t>Количество, размер и периодичность (сроки) платежей заемщика по договору или порядок определения этих платежей</w:t>
            </w:r>
          </w:p>
        </w:tc>
        <w:tc>
          <w:tcPr>
            <w:tcW w:w="3672" w:type="dxa"/>
          </w:tcPr>
          <w:p w:rsidR="00E24B79" w:rsidRDefault="00E24B79">
            <w:pPr>
              <w:pStyle w:val="ConsPlusNormal"/>
            </w:pPr>
          </w:p>
        </w:tc>
      </w:tr>
      <w:tr w:rsidR="00E24B79">
        <w:tc>
          <w:tcPr>
            <w:tcW w:w="690" w:type="dxa"/>
          </w:tcPr>
          <w:p w:rsidR="00E24B79" w:rsidRDefault="00E24B7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277" w:type="dxa"/>
          </w:tcPr>
          <w:p w:rsidR="00E24B79" w:rsidRDefault="00E24B79">
            <w:pPr>
              <w:pStyle w:val="ConsPlusNormal"/>
            </w:pPr>
            <w:r>
              <w:t>Порядок изменения количества, размера и периодичности (сроков) платежей заемщика при частичном досрочном возврате кредита (займа)</w:t>
            </w:r>
          </w:p>
        </w:tc>
        <w:tc>
          <w:tcPr>
            <w:tcW w:w="3672" w:type="dxa"/>
          </w:tcPr>
          <w:p w:rsidR="00E24B79" w:rsidRDefault="00E24B79">
            <w:pPr>
              <w:pStyle w:val="ConsPlusNormal"/>
            </w:pPr>
          </w:p>
        </w:tc>
      </w:tr>
      <w:tr w:rsidR="00E24B79">
        <w:tc>
          <w:tcPr>
            <w:tcW w:w="690" w:type="dxa"/>
          </w:tcPr>
          <w:p w:rsidR="00E24B79" w:rsidRDefault="00E24B7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277" w:type="dxa"/>
          </w:tcPr>
          <w:p w:rsidR="00E24B79" w:rsidRDefault="00E24B79">
            <w:pPr>
              <w:pStyle w:val="ConsPlusNormal"/>
            </w:pPr>
            <w:r>
              <w:t>Способы исполнения заемщиком обязательств по договору по месту нахождения заемщика</w:t>
            </w:r>
          </w:p>
        </w:tc>
        <w:tc>
          <w:tcPr>
            <w:tcW w:w="3672" w:type="dxa"/>
          </w:tcPr>
          <w:p w:rsidR="00E24B79" w:rsidRDefault="00E24B79">
            <w:pPr>
              <w:pStyle w:val="ConsPlusNormal"/>
            </w:pPr>
          </w:p>
        </w:tc>
      </w:tr>
      <w:tr w:rsidR="00E24B79">
        <w:tc>
          <w:tcPr>
            <w:tcW w:w="690" w:type="dxa"/>
          </w:tcPr>
          <w:p w:rsidR="00E24B79" w:rsidRDefault="00E24B79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5277" w:type="dxa"/>
          </w:tcPr>
          <w:p w:rsidR="00E24B79" w:rsidRDefault="00E24B79">
            <w:pPr>
              <w:pStyle w:val="ConsPlusNormal"/>
            </w:pPr>
            <w:r>
              <w:t>Бесплатный способ исполнения заемщиком обязательств по договору</w:t>
            </w:r>
          </w:p>
        </w:tc>
        <w:tc>
          <w:tcPr>
            <w:tcW w:w="3672" w:type="dxa"/>
          </w:tcPr>
          <w:p w:rsidR="00E24B79" w:rsidRDefault="00E24B79">
            <w:pPr>
              <w:pStyle w:val="ConsPlusNormal"/>
            </w:pPr>
          </w:p>
        </w:tc>
      </w:tr>
      <w:tr w:rsidR="00E24B79">
        <w:tc>
          <w:tcPr>
            <w:tcW w:w="690" w:type="dxa"/>
          </w:tcPr>
          <w:p w:rsidR="00E24B79" w:rsidRDefault="00E24B79">
            <w:pPr>
              <w:pStyle w:val="ConsPlusNormal"/>
              <w:jc w:val="center"/>
            </w:pPr>
            <w:bookmarkStart w:id="4" w:name="P72"/>
            <w:bookmarkEnd w:id="4"/>
            <w:r>
              <w:t>9.</w:t>
            </w:r>
          </w:p>
        </w:tc>
        <w:tc>
          <w:tcPr>
            <w:tcW w:w="5277" w:type="dxa"/>
          </w:tcPr>
          <w:p w:rsidR="00E24B79" w:rsidRDefault="00E24B79">
            <w:pPr>
              <w:pStyle w:val="ConsPlusNormal"/>
            </w:pPr>
            <w:r>
              <w:t>Обязанность заемщика заключить иные договоры</w:t>
            </w:r>
          </w:p>
        </w:tc>
        <w:tc>
          <w:tcPr>
            <w:tcW w:w="3672" w:type="dxa"/>
          </w:tcPr>
          <w:p w:rsidR="00E24B79" w:rsidRDefault="00E24B79">
            <w:pPr>
              <w:pStyle w:val="ConsPlusNormal"/>
            </w:pPr>
          </w:p>
        </w:tc>
      </w:tr>
      <w:tr w:rsidR="00E24B79">
        <w:tc>
          <w:tcPr>
            <w:tcW w:w="690" w:type="dxa"/>
          </w:tcPr>
          <w:p w:rsidR="00E24B79" w:rsidRDefault="00E24B79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5277" w:type="dxa"/>
          </w:tcPr>
          <w:p w:rsidR="00E24B79" w:rsidRDefault="00E24B79">
            <w:pPr>
              <w:pStyle w:val="ConsPlusNormal"/>
            </w:pPr>
            <w:r>
              <w:t>Обязанность заемщика по предоставлению обеспечения исполнения обязательств по договору и требования к такому обеспечению</w:t>
            </w:r>
          </w:p>
        </w:tc>
        <w:tc>
          <w:tcPr>
            <w:tcW w:w="3672" w:type="dxa"/>
          </w:tcPr>
          <w:p w:rsidR="00E24B79" w:rsidRDefault="00E24B79">
            <w:pPr>
              <w:pStyle w:val="ConsPlusNormal"/>
            </w:pPr>
          </w:p>
        </w:tc>
      </w:tr>
      <w:tr w:rsidR="00E24B79">
        <w:tc>
          <w:tcPr>
            <w:tcW w:w="690" w:type="dxa"/>
          </w:tcPr>
          <w:p w:rsidR="00E24B79" w:rsidRDefault="00E24B79">
            <w:pPr>
              <w:pStyle w:val="ConsPlusNormal"/>
              <w:jc w:val="center"/>
            </w:pPr>
            <w:bookmarkStart w:id="5" w:name="P78"/>
            <w:bookmarkEnd w:id="5"/>
            <w:r>
              <w:t>11.</w:t>
            </w:r>
          </w:p>
        </w:tc>
        <w:tc>
          <w:tcPr>
            <w:tcW w:w="5277" w:type="dxa"/>
          </w:tcPr>
          <w:p w:rsidR="00E24B79" w:rsidRDefault="00E24B79">
            <w:pPr>
              <w:pStyle w:val="ConsPlusNormal"/>
            </w:pPr>
            <w:r>
              <w:t>Цели использования заемщиком потребительского кредита (займа)</w:t>
            </w:r>
          </w:p>
        </w:tc>
        <w:tc>
          <w:tcPr>
            <w:tcW w:w="3672" w:type="dxa"/>
          </w:tcPr>
          <w:p w:rsidR="00E24B79" w:rsidRDefault="00E24B79">
            <w:pPr>
              <w:pStyle w:val="ConsPlusNormal"/>
            </w:pPr>
          </w:p>
        </w:tc>
      </w:tr>
      <w:tr w:rsidR="00E24B79">
        <w:tc>
          <w:tcPr>
            <w:tcW w:w="690" w:type="dxa"/>
          </w:tcPr>
          <w:p w:rsidR="00E24B79" w:rsidRDefault="00E24B7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277" w:type="dxa"/>
          </w:tcPr>
          <w:p w:rsidR="00E24B79" w:rsidRDefault="00E24B79">
            <w:pPr>
              <w:pStyle w:val="ConsPlusNormal"/>
            </w:pPr>
            <w:r>
              <w:t>Ответственность заемщика за ненадлежащее исполнение условий договора, размер неустойки (штрафа, пени) или порядок их определения</w:t>
            </w:r>
          </w:p>
        </w:tc>
        <w:tc>
          <w:tcPr>
            <w:tcW w:w="3672" w:type="dxa"/>
          </w:tcPr>
          <w:p w:rsidR="00E24B79" w:rsidRDefault="00E24B79">
            <w:pPr>
              <w:pStyle w:val="ConsPlusNormal"/>
            </w:pPr>
          </w:p>
        </w:tc>
      </w:tr>
      <w:tr w:rsidR="00E24B79">
        <w:tc>
          <w:tcPr>
            <w:tcW w:w="690" w:type="dxa"/>
          </w:tcPr>
          <w:p w:rsidR="00E24B79" w:rsidRDefault="00E24B7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277" w:type="dxa"/>
          </w:tcPr>
          <w:p w:rsidR="00E24B79" w:rsidRDefault="00E24B79">
            <w:pPr>
              <w:pStyle w:val="ConsPlusNormal"/>
            </w:pPr>
            <w:r>
              <w:t>Условие об уступке кредитором третьим лицам прав (требований) по договору</w:t>
            </w:r>
          </w:p>
        </w:tc>
        <w:tc>
          <w:tcPr>
            <w:tcW w:w="3672" w:type="dxa"/>
          </w:tcPr>
          <w:p w:rsidR="00E24B79" w:rsidRDefault="00E24B79">
            <w:pPr>
              <w:pStyle w:val="ConsPlusNormal"/>
            </w:pPr>
          </w:p>
        </w:tc>
      </w:tr>
      <w:tr w:rsidR="00E24B79">
        <w:tc>
          <w:tcPr>
            <w:tcW w:w="690" w:type="dxa"/>
          </w:tcPr>
          <w:p w:rsidR="00E24B79" w:rsidRDefault="00E24B7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277" w:type="dxa"/>
          </w:tcPr>
          <w:p w:rsidR="00E24B79" w:rsidRDefault="00E24B79">
            <w:pPr>
              <w:pStyle w:val="ConsPlusNormal"/>
            </w:pPr>
            <w:r>
              <w:t>Согласие заемщика с общими условиями договора</w:t>
            </w:r>
          </w:p>
        </w:tc>
        <w:tc>
          <w:tcPr>
            <w:tcW w:w="3672" w:type="dxa"/>
          </w:tcPr>
          <w:p w:rsidR="00E24B79" w:rsidRDefault="00E24B79">
            <w:pPr>
              <w:pStyle w:val="ConsPlusNormal"/>
            </w:pPr>
          </w:p>
        </w:tc>
      </w:tr>
      <w:tr w:rsidR="00E24B79">
        <w:tc>
          <w:tcPr>
            <w:tcW w:w="690" w:type="dxa"/>
          </w:tcPr>
          <w:p w:rsidR="00E24B79" w:rsidRDefault="00E24B79">
            <w:pPr>
              <w:pStyle w:val="ConsPlusNormal"/>
              <w:jc w:val="center"/>
            </w:pPr>
            <w:bookmarkStart w:id="6" w:name="P90"/>
            <w:bookmarkEnd w:id="6"/>
            <w:r>
              <w:t>15.</w:t>
            </w:r>
          </w:p>
        </w:tc>
        <w:tc>
          <w:tcPr>
            <w:tcW w:w="5277" w:type="dxa"/>
          </w:tcPr>
          <w:p w:rsidR="00E24B79" w:rsidRDefault="00E24B79">
            <w:pPr>
              <w:pStyle w:val="ConsPlusNormal"/>
            </w:pPr>
            <w:r>
              <w:t>Услуги, оказываемые кредитором заемщику за отдельную плату и необходимые для заключения договора, их цена или порядок ее определения, а также согласие заемщика на оказание таких услуг</w:t>
            </w:r>
          </w:p>
        </w:tc>
        <w:tc>
          <w:tcPr>
            <w:tcW w:w="3672" w:type="dxa"/>
          </w:tcPr>
          <w:p w:rsidR="00E24B79" w:rsidRDefault="00E24B79">
            <w:pPr>
              <w:pStyle w:val="ConsPlusNormal"/>
            </w:pPr>
          </w:p>
        </w:tc>
      </w:tr>
      <w:tr w:rsidR="00E24B79">
        <w:tc>
          <w:tcPr>
            <w:tcW w:w="690" w:type="dxa"/>
          </w:tcPr>
          <w:p w:rsidR="00E24B79" w:rsidRDefault="00E24B79">
            <w:pPr>
              <w:pStyle w:val="ConsPlusNormal"/>
              <w:jc w:val="center"/>
            </w:pPr>
            <w:bookmarkStart w:id="7" w:name="P93"/>
            <w:bookmarkEnd w:id="7"/>
            <w:r>
              <w:t>16.</w:t>
            </w:r>
          </w:p>
        </w:tc>
        <w:tc>
          <w:tcPr>
            <w:tcW w:w="5277" w:type="dxa"/>
          </w:tcPr>
          <w:p w:rsidR="00E24B79" w:rsidRDefault="00E24B79">
            <w:pPr>
              <w:pStyle w:val="ConsPlusNormal"/>
            </w:pPr>
            <w:r>
              <w:t>Способ обмена информацией между кредитором и заемщиком</w:t>
            </w:r>
          </w:p>
        </w:tc>
        <w:tc>
          <w:tcPr>
            <w:tcW w:w="3672" w:type="dxa"/>
          </w:tcPr>
          <w:p w:rsidR="00E24B79" w:rsidRDefault="00E24B79">
            <w:pPr>
              <w:pStyle w:val="ConsPlusNormal"/>
            </w:pPr>
          </w:p>
        </w:tc>
      </w:tr>
      <w:bookmarkEnd w:id="1"/>
    </w:tbl>
    <w:p w:rsidR="00E24B79" w:rsidRDefault="00E24B79">
      <w:pPr>
        <w:pStyle w:val="ConsPlusNormal"/>
        <w:jc w:val="both"/>
      </w:pPr>
    </w:p>
    <w:p w:rsidR="00E24B79" w:rsidRDefault="00E24B79">
      <w:pPr>
        <w:pStyle w:val="ConsPlusNormal"/>
        <w:ind w:firstLine="540"/>
        <w:jc w:val="both"/>
      </w:pPr>
      <w:r>
        <w:t>Примечание (в таблицу индивидуальных условий договора не включается).</w:t>
      </w:r>
    </w:p>
    <w:p w:rsidR="00E24B79" w:rsidRDefault="00E24B79">
      <w:pPr>
        <w:pStyle w:val="ConsPlusNormal"/>
        <w:spacing w:before="220"/>
        <w:ind w:firstLine="540"/>
        <w:jc w:val="both"/>
      </w:pPr>
      <w:r>
        <w:t>Слова "кредит" или "заем" в соответствующем падеже по тексту таблицы индивидуальных условий договора могут использоваться кредитором в зависимости от вида договора потребительского кредита или потребительского займа соответственно.</w:t>
      </w:r>
    </w:p>
    <w:p w:rsidR="00E24B79" w:rsidRDefault="00E24B79">
      <w:pPr>
        <w:pStyle w:val="ConsPlusNormal"/>
        <w:jc w:val="both"/>
      </w:pPr>
    </w:p>
    <w:p w:rsidR="00E24B79" w:rsidRDefault="00E24B79">
      <w:pPr>
        <w:pStyle w:val="ConsPlusNormal"/>
        <w:jc w:val="both"/>
      </w:pPr>
    </w:p>
    <w:p w:rsidR="00E24B79" w:rsidRDefault="00E24B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3818" w:rsidRDefault="001406D4"/>
    <w:sectPr w:rsidR="00603818" w:rsidSect="001C700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79"/>
    <w:rsid w:val="001406D4"/>
    <w:rsid w:val="00233DC4"/>
    <w:rsid w:val="00767063"/>
    <w:rsid w:val="00874081"/>
    <w:rsid w:val="00A0469D"/>
    <w:rsid w:val="00AF116B"/>
    <w:rsid w:val="00E24B79"/>
    <w:rsid w:val="00FD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DE3D7-0A10-451A-85B0-B34773FF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B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4B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4B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2F6C2EAC9E61F48FA0982C9CE5AD56092626927B53ACAF587CF44736AC25C0746BB687EFCE4AC1BE5e4J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890B5-C23F-42AC-8F0B-9A0840400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nBVEH</dc:creator>
  <cp:keywords/>
  <dc:description/>
  <cp:lastModifiedBy>nBVEH</cp:lastModifiedBy>
  <cp:revision>1</cp:revision>
  <dcterms:created xsi:type="dcterms:W3CDTF">2018-06-20T09:30:00Z</dcterms:created>
  <dcterms:modified xsi:type="dcterms:W3CDTF">2018-06-20T09:50:00Z</dcterms:modified>
</cp:coreProperties>
</file>